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7FA98" w14:textId="77777777" w:rsidR="009D2EB5" w:rsidRPr="00B675F7" w:rsidRDefault="009D2EB5" w:rsidP="009D2EB5">
      <w:pPr>
        <w:jc w:val="center"/>
        <w:rPr>
          <w:rFonts w:ascii="Times New Roman" w:hAnsi="Times New Roman"/>
          <w:b/>
          <w:sz w:val="24"/>
          <w:szCs w:val="24"/>
        </w:rPr>
      </w:pPr>
      <w:r w:rsidRPr="00B675F7">
        <w:rPr>
          <w:rFonts w:ascii="Times New Roman" w:hAnsi="Times New Roman"/>
          <w:b/>
          <w:sz w:val="24"/>
          <w:szCs w:val="24"/>
        </w:rPr>
        <w:t>PETROLEUM AND NATURAL GAS REGULATORY BOARD</w:t>
      </w:r>
    </w:p>
    <w:p w14:paraId="5F7568B7" w14:textId="77777777" w:rsidR="009D2EB5" w:rsidRPr="00B675F7" w:rsidRDefault="009D2EB5" w:rsidP="009D2EB5">
      <w:pPr>
        <w:jc w:val="center"/>
        <w:rPr>
          <w:rFonts w:ascii="Times New Roman" w:hAnsi="Times New Roman"/>
          <w:sz w:val="24"/>
          <w:szCs w:val="24"/>
        </w:rPr>
      </w:pPr>
      <w:r w:rsidRPr="00B675F7">
        <w:rPr>
          <w:rFonts w:ascii="Times New Roman" w:hAnsi="Times New Roman"/>
          <w:b/>
          <w:sz w:val="24"/>
          <w:szCs w:val="24"/>
        </w:rPr>
        <w:t>NOTIFICATION</w:t>
      </w:r>
    </w:p>
    <w:p w14:paraId="363F29F8" w14:textId="77777777" w:rsidR="009D2EB5" w:rsidRPr="00B675F7" w:rsidRDefault="009D2EB5" w:rsidP="009D2EB5">
      <w:pPr>
        <w:jc w:val="center"/>
        <w:rPr>
          <w:rFonts w:ascii="Times New Roman" w:hAnsi="Times New Roman"/>
          <w:sz w:val="24"/>
          <w:szCs w:val="24"/>
        </w:rPr>
      </w:pPr>
      <w:r w:rsidRPr="00B675F7">
        <w:rPr>
          <w:rFonts w:ascii="Times New Roman" w:hAnsi="Times New Roman"/>
          <w:sz w:val="24"/>
          <w:szCs w:val="24"/>
        </w:rPr>
        <w:t>New Delhi, the 7</w:t>
      </w:r>
      <w:r w:rsidRPr="00B675F7">
        <w:rPr>
          <w:rFonts w:ascii="Times New Roman" w:hAnsi="Times New Roman"/>
          <w:sz w:val="24"/>
          <w:szCs w:val="24"/>
          <w:vertAlign w:val="superscript"/>
        </w:rPr>
        <w:t>th</w:t>
      </w:r>
      <w:r w:rsidRPr="00B675F7">
        <w:rPr>
          <w:rFonts w:ascii="Times New Roman" w:hAnsi="Times New Roman"/>
          <w:sz w:val="24"/>
          <w:szCs w:val="24"/>
        </w:rPr>
        <w:t xml:space="preserve"> June, 2010</w:t>
      </w:r>
    </w:p>
    <w:p w14:paraId="3039E1BE" w14:textId="77777777" w:rsidR="009D2EB5" w:rsidRPr="00B675F7" w:rsidRDefault="009D2EB5" w:rsidP="009D2EB5">
      <w:pPr>
        <w:rPr>
          <w:rFonts w:ascii="Times New Roman" w:hAnsi="Times New Roman"/>
          <w:sz w:val="24"/>
          <w:szCs w:val="24"/>
        </w:rPr>
      </w:pPr>
    </w:p>
    <w:p w14:paraId="3795F6EA" w14:textId="77777777" w:rsidR="009D2EB5" w:rsidRPr="00B675F7" w:rsidRDefault="009D2EB5" w:rsidP="00B675F7">
      <w:pPr>
        <w:spacing w:line="360" w:lineRule="auto"/>
        <w:ind w:firstLine="720"/>
        <w:jc w:val="both"/>
        <w:rPr>
          <w:rFonts w:ascii="Times New Roman" w:hAnsi="Times New Roman"/>
          <w:sz w:val="24"/>
          <w:szCs w:val="24"/>
        </w:rPr>
      </w:pPr>
      <w:r w:rsidRPr="00B675F7">
        <w:rPr>
          <w:rFonts w:ascii="Times New Roman" w:hAnsi="Times New Roman"/>
          <w:b/>
          <w:sz w:val="24"/>
          <w:szCs w:val="24"/>
        </w:rPr>
        <w:t>G.S.R.477 (E</w:t>
      </w:r>
      <w:proofErr w:type="gramStart"/>
      <w:r w:rsidRPr="00B675F7">
        <w:rPr>
          <w:rFonts w:ascii="Times New Roman" w:hAnsi="Times New Roman"/>
          <w:b/>
          <w:sz w:val="24"/>
          <w:szCs w:val="24"/>
        </w:rPr>
        <w:t>).—</w:t>
      </w:r>
      <w:proofErr w:type="gramEnd"/>
      <w:r w:rsidRPr="00B675F7">
        <w:rPr>
          <w:rFonts w:ascii="Times New Roman" w:hAnsi="Times New Roman"/>
          <w:sz w:val="24"/>
          <w:szCs w:val="24"/>
        </w:rPr>
        <w:t>In exercise of the powers conferred by clause (g) of sub-section (2) of section 61 of the Petroleum and Natural Gas Regulatory Board Act, 2006 (19 of 2006), the Petroleum and Natural Gas Regulatory Board hereby makes the following regulations, namely:--</w:t>
      </w:r>
    </w:p>
    <w:p w14:paraId="7A426C03" w14:textId="77777777" w:rsidR="00476270" w:rsidRDefault="009D2EB5" w:rsidP="00B675F7">
      <w:pPr>
        <w:spacing w:line="360" w:lineRule="auto"/>
        <w:ind w:left="709" w:hanging="425"/>
        <w:jc w:val="both"/>
        <w:rPr>
          <w:rFonts w:ascii="Times New Roman" w:hAnsi="Times New Roman"/>
          <w:b/>
          <w:sz w:val="24"/>
          <w:szCs w:val="24"/>
        </w:rPr>
      </w:pPr>
      <w:r w:rsidRPr="00B675F7">
        <w:rPr>
          <w:rFonts w:ascii="Times New Roman" w:hAnsi="Times New Roman"/>
          <w:b/>
          <w:sz w:val="24"/>
          <w:szCs w:val="24"/>
        </w:rPr>
        <w:t xml:space="preserve">1. Short title and </w:t>
      </w:r>
      <w:proofErr w:type="gramStart"/>
      <w:r w:rsidRPr="00B675F7">
        <w:rPr>
          <w:rFonts w:ascii="Times New Roman" w:hAnsi="Times New Roman"/>
          <w:b/>
          <w:sz w:val="24"/>
          <w:szCs w:val="24"/>
        </w:rPr>
        <w:t>commencement.—</w:t>
      </w:r>
      <w:proofErr w:type="gramEnd"/>
    </w:p>
    <w:p w14:paraId="0F2E2E07" w14:textId="1F75837F" w:rsidR="009D2EB5" w:rsidRPr="00B675F7" w:rsidRDefault="009D2EB5" w:rsidP="00476270">
      <w:pPr>
        <w:spacing w:line="360" w:lineRule="auto"/>
        <w:ind w:left="709"/>
        <w:jc w:val="both"/>
        <w:rPr>
          <w:rFonts w:ascii="Times New Roman" w:hAnsi="Times New Roman"/>
          <w:sz w:val="24"/>
          <w:szCs w:val="24"/>
        </w:rPr>
      </w:pPr>
      <w:r w:rsidRPr="00B675F7">
        <w:rPr>
          <w:rFonts w:ascii="Times New Roman" w:hAnsi="Times New Roman"/>
          <w:sz w:val="24"/>
          <w:szCs w:val="24"/>
        </w:rPr>
        <w:t>(1) These regulations may be called the Petroleum and Natural Gas Regulatory Board (Levy of Fee and other Charges) Amendment Regulations, 2010.</w:t>
      </w:r>
    </w:p>
    <w:p w14:paraId="79A86CCD" w14:textId="77777777" w:rsidR="009D2EB5" w:rsidRPr="00B675F7" w:rsidRDefault="009D2EB5" w:rsidP="00B675F7">
      <w:pPr>
        <w:spacing w:line="360" w:lineRule="auto"/>
        <w:ind w:left="709" w:hanging="425"/>
        <w:jc w:val="both"/>
        <w:rPr>
          <w:rFonts w:ascii="Times New Roman" w:hAnsi="Times New Roman"/>
          <w:sz w:val="24"/>
          <w:szCs w:val="24"/>
        </w:rPr>
      </w:pPr>
      <w:r w:rsidRPr="00B675F7">
        <w:rPr>
          <w:rFonts w:ascii="Times New Roman" w:hAnsi="Times New Roman"/>
          <w:sz w:val="24"/>
          <w:szCs w:val="24"/>
        </w:rPr>
        <w:tab/>
        <w:t>(2) These regulations shall come into force on the date of their publication in the Official Gazette.</w:t>
      </w:r>
    </w:p>
    <w:p w14:paraId="4D62DF65" w14:textId="77777777" w:rsidR="009D2EB5" w:rsidRPr="00B675F7" w:rsidRDefault="009D2EB5" w:rsidP="00B675F7">
      <w:pPr>
        <w:spacing w:line="360" w:lineRule="auto"/>
        <w:ind w:left="851" w:hanging="567"/>
        <w:jc w:val="both"/>
        <w:rPr>
          <w:rFonts w:ascii="Times New Roman" w:hAnsi="Times New Roman"/>
          <w:sz w:val="24"/>
          <w:szCs w:val="24"/>
        </w:rPr>
      </w:pPr>
      <w:r w:rsidRPr="00B675F7">
        <w:rPr>
          <w:rFonts w:ascii="Times New Roman" w:hAnsi="Times New Roman"/>
          <w:bCs/>
          <w:sz w:val="24"/>
          <w:szCs w:val="24"/>
        </w:rPr>
        <w:t>2.</w:t>
      </w:r>
      <w:r w:rsidRPr="00B675F7">
        <w:rPr>
          <w:rFonts w:ascii="Times New Roman" w:hAnsi="Times New Roman"/>
          <w:b/>
          <w:sz w:val="24"/>
          <w:szCs w:val="24"/>
        </w:rPr>
        <w:t xml:space="preserve"> </w:t>
      </w:r>
      <w:r w:rsidRPr="00B675F7">
        <w:rPr>
          <w:rFonts w:ascii="Times New Roman" w:hAnsi="Times New Roman"/>
          <w:sz w:val="24"/>
          <w:szCs w:val="24"/>
        </w:rPr>
        <w:t>In the Petroleum and Natural Gas Regulatory Board (Levy of Fee and other Charges) Regulations, 2007</w:t>
      </w:r>
    </w:p>
    <w:p w14:paraId="65210752" w14:textId="77777777" w:rsidR="009D2EB5" w:rsidRPr="00B675F7" w:rsidRDefault="009D2EB5" w:rsidP="00B675F7">
      <w:pPr>
        <w:spacing w:line="360" w:lineRule="auto"/>
        <w:ind w:firstLine="720"/>
        <w:jc w:val="both"/>
        <w:rPr>
          <w:rFonts w:ascii="Times New Roman" w:hAnsi="Times New Roman"/>
          <w:sz w:val="24"/>
          <w:szCs w:val="24"/>
        </w:rPr>
      </w:pPr>
      <w:r w:rsidRPr="00B675F7">
        <w:rPr>
          <w:rFonts w:ascii="Times New Roman" w:hAnsi="Times New Roman"/>
          <w:sz w:val="24"/>
          <w:szCs w:val="24"/>
        </w:rPr>
        <w:tab/>
        <w:t>(</w:t>
      </w:r>
      <w:proofErr w:type="spellStart"/>
      <w:r w:rsidRPr="00B675F7">
        <w:rPr>
          <w:rFonts w:ascii="Times New Roman" w:hAnsi="Times New Roman"/>
          <w:sz w:val="24"/>
          <w:szCs w:val="24"/>
        </w:rPr>
        <w:t>i</w:t>
      </w:r>
      <w:proofErr w:type="spellEnd"/>
      <w:r w:rsidRPr="00B675F7">
        <w:rPr>
          <w:rFonts w:ascii="Times New Roman" w:hAnsi="Times New Roman"/>
          <w:sz w:val="24"/>
          <w:szCs w:val="24"/>
        </w:rPr>
        <w:t>) Regulation 3 shall be substituted with the following:</w:t>
      </w:r>
    </w:p>
    <w:p w14:paraId="3F22C8A1" w14:textId="77777777" w:rsidR="009D2EB5" w:rsidRPr="00B675F7" w:rsidRDefault="009D2EB5" w:rsidP="00B675F7">
      <w:pPr>
        <w:spacing w:line="360" w:lineRule="auto"/>
        <w:ind w:left="720"/>
        <w:jc w:val="both"/>
        <w:rPr>
          <w:rFonts w:ascii="Times New Roman" w:hAnsi="Times New Roman"/>
          <w:sz w:val="24"/>
          <w:szCs w:val="24"/>
        </w:rPr>
      </w:pPr>
      <w:r w:rsidRPr="00B675F7">
        <w:rPr>
          <w:rFonts w:ascii="Times New Roman" w:hAnsi="Times New Roman"/>
          <w:sz w:val="24"/>
          <w:szCs w:val="24"/>
        </w:rPr>
        <w:tab/>
      </w:r>
      <w:r w:rsidRPr="00B675F7">
        <w:rPr>
          <w:rFonts w:ascii="Times New Roman" w:hAnsi="Times New Roman"/>
          <w:b/>
          <w:sz w:val="24"/>
          <w:szCs w:val="24"/>
        </w:rPr>
        <w:t xml:space="preserve">“3. Levy of Fee. --- </w:t>
      </w:r>
      <w:r w:rsidRPr="00B675F7">
        <w:rPr>
          <w:rFonts w:ascii="Times New Roman" w:hAnsi="Times New Roman"/>
          <w:sz w:val="24"/>
          <w:szCs w:val="24"/>
        </w:rPr>
        <w:t>(1) Every application under various provisions of the Act                               shall accompany fee as specified below:</w:t>
      </w:r>
    </w:p>
    <w:tbl>
      <w:tblPr>
        <w:tblW w:w="0" w:type="auto"/>
        <w:tblInd w:w="720" w:type="dxa"/>
        <w:tblLook w:val="04A0" w:firstRow="1" w:lastRow="0" w:firstColumn="1" w:lastColumn="0" w:noHBand="0" w:noVBand="1"/>
      </w:tblPr>
      <w:tblGrid>
        <w:gridCol w:w="980"/>
        <w:gridCol w:w="6462"/>
        <w:gridCol w:w="1188"/>
      </w:tblGrid>
      <w:tr w:rsidR="009D2EB5" w:rsidRPr="00B675F7" w14:paraId="7DC36C75" w14:textId="77777777" w:rsidTr="00620A19">
        <w:tc>
          <w:tcPr>
            <w:tcW w:w="980" w:type="dxa"/>
          </w:tcPr>
          <w:p w14:paraId="6B8D0E57" w14:textId="20B80A9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S.</w:t>
            </w:r>
            <w:r w:rsidR="00B675F7">
              <w:rPr>
                <w:rFonts w:ascii="Times New Roman" w:hAnsi="Times New Roman"/>
                <w:sz w:val="24"/>
                <w:szCs w:val="24"/>
              </w:rPr>
              <w:t xml:space="preserve"> </w:t>
            </w:r>
            <w:r w:rsidRPr="00B675F7">
              <w:rPr>
                <w:rFonts w:ascii="Times New Roman" w:hAnsi="Times New Roman"/>
                <w:sz w:val="24"/>
                <w:szCs w:val="24"/>
              </w:rPr>
              <w:t>No.</w:t>
            </w:r>
          </w:p>
        </w:tc>
        <w:tc>
          <w:tcPr>
            <w:tcW w:w="6462" w:type="dxa"/>
          </w:tcPr>
          <w:p w14:paraId="1D6C231B"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Activity under the provisions of the Act</w:t>
            </w:r>
          </w:p>
        </w:tc>
        <w:tc>
          <w:tcPr>
            <w:tcW w:w="1188" w:type="dxa"/>
          </w:tcPr>
          <w:p w14:paraId="588B9441"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Fee (Rs.)</w:t>
            </w:r>
          </w:p>
        </w:tc>
      </w:tr>
      <w:tr w:rsidR="009D2EB5" w:rsidRPr="00B675F7" w14:paraId="3E03070E" w14:textId="77777777" w:rsidTr="00620A19">
        <w:tc>
          <w:tcPr>
            <w:tcW w:w="980" w:type="dxa"/>
          </w:tcPr>
          <w:p w14:paraId="4D24C574"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(1)</w:t>
            </w:r>
          </w:p>
        </w:tc>
        <w:tc>
          <w:tcPr>
            <w:tcW w:w="6462" w:type="dxa"/>
          </w:tcPr>
          <w:p w14:paraId="16B7E436"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(2)</w:t>
            </w:r>
          </w:p>
        </w:tc>
        <w:tc>
          <w:tcPr>
            <w:tcW w:w="1188" w:type="dxa"/>
          </w:tcPr>
          <w:p w14:paraId="27BAA2C4"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(3)</w:t>
            </w:r>
          </w:p>
        </w:tc>
      </w:tr>
      <w:tr w:rsidR="009D2EB5" w:rsidRPr="00B675F7" w14:paraId="47D9ACA4" w14:textId="77777777" w:rsidTr="00620A19">
        <w:tc>
          <w:tcPr>
            <w:tcW w:w="980" w:type="dxa"/>
          </w:tcPr>
          <w:p w14:paraId="1532735D"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1.</w:t>
            </w:r>
          </w:p>
        </w:tc>
        <w:tc>
          <w:tcPr>
            <w:tcW w:w="6462" w:type="dxa"/>
          </w:tcPr>
          <w:p w14:paraId="4B807101"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Registration under sub-section (2) of section 15 of the Act</w:t>
            </w:r>
          </w:p>
        </w:tc>
        <w:tc>
          <w:tcPr>
            <w:tcW w:w="1188" w:type="dxa"/>
          </w:tcPr>
          <w:p w14:paraId="197C1260"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5,00,000</w:t>
            </w:r>
          </w:p>
        </w:tc>
      </w:tr>
      <w:tr w:rsidR="009D2EB5" w:rsidRPr="00B675F7" w14:paraId="3FCE66B1" w14:textId="77777777" w:rsidTr="00620A19">
        <w:tc>
          <w:tcPr>
            <w:tcW w:w="980" w:type="dxa"/>
          </w:tcPr>
          <w:p w14:paraId="04C0D929"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2.</w:t>
            </w:r>
          </w:p>
        </w:tc>
        <w:tc>
          <w:tcPr>
            <w:tcW w:w="6462" w:type="dxa"/>
          </w:tcPr>
          <w:p w14:paraId="7557BB9B"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Expression of interest for authorization</w:t>
            </w:r>
          </w:p>
        </w:tc>
        <w:tc>
          <w:tcPr>
            <w:tcW w:w="1188" w:type="dxa"/>
          </w:tcPr>
          <w:p w14:paraId="41C50E9D"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 xml:space="preserve">   10,000</w:t>
            </w:r>
          </w:p>
        </w:tc>
      </w:tr>
      <w:tr w:rsidR="008D3EF1" w:rsidRPr="00B675F7" w14:paraId="7E04A3BD" w14:textId="77777777" w:rsidTr="00620A19">
        <w:trPr>
          <w:trHeight w:val="838"/>
        </w:trPr>
        <w:tc>
          <w:tcPr>
            <w:tcW w:w="980" w:type="dxa"/>
            <w:vMerge w:val="restart"/>
          </w:tcPr>
          <w:p w14:paraId="6C465CFB" w14:textId="77777777" w:rsidR="008D3EF1" w:rsidRPr="00B675F7" w:rsidRDefault="008D3EF1" w:rsidP="00B675F7">
            <w:pPr>
              <w:spacing w:after="0" w:line="360" w:lineRule="auto"/>
              <w:rPr>
                <w:rFonts w:ascii="Times New Roman" w:hAnsi="Times New Roman"/>
                <w:sz w:val="24"/>
                <w:szCs w:val="24"/>
              </w:rPr>
            </w:pPr>
            <w:r w:rsidRPr="00B675F7">
              <w:rPr>
                <w:rFonts w:ascii="Times New Roman" w:hAnsi="Times New Roman"/>
                <w:sz w:val="24"/>
                <w:szCs w:val="24"/>
              </w:rPr>
              <w:t>3.</w:t>
            </w:r>
          </w:p>
        </w:tc>
        <w:tc>
          <w:tcPr>
            <w:tcW w:w="6462" w:type="dxa"/>
          </w:tcPr>
          <w:p w14:paraId="7F87D1B8" w14:textId="77777777" w:rsidR="008D3EF1" w:rsidRPr="00B675F7" w:rsidRDefault="008D3EF1" w:rsidP="00B675F7">
            <w:pPr>
              <w:spacing w:after="0" w:line="360" w:lineRule="auto"/>
              <w:rPr>
                <w:rFonts w:ascii="Times New Roman" w:hAnsi="Times New Roman"/>
                <w:sz w:val="24"/>
                <w:szCs w:val="24"/>
              </w:rPr>
            </w:pPr>
            <w:proofErr w:type="spellStart"/>
            <w:r w:rsidRPr="00B675F7">
              <w:rPr>
                <w:rFonts w:ascii="Times New Roman" w:hAnsi="Times New Roman"/>
                <w:sz w:val="24"/>
                <w:szCs w:val="24"/>
              </w:rPr>
              <w:t>Authorisation</w:t>
            </w:r>
            <w:proofErr w:type="spellEnd"/>
            <w:r w:rsidRPr="00B675F7">
              <w:rPr>
                <w:rFonts w:ascii="Times New Roman" w:hAnsi="Times New Roman"/>
                <w:sz w:val="24"/>
                <w:szCs w:val="24"/>
              </w:rPr>
              <w:t xml:space="preserve"> under sub-section (3) of section17 of the Act</w:t>
            </w:r>
          </w:p>
          <w:p w14:paraId="6269EA5D" w14:textId="18858D9C" w:rsidR="008D3EF1" w:rsidRPr="00B675F7" w:rsidRDefault="008D3EF1" w:rsidP="00B675F7">
            <w:pPr>
              <w:spacing w:after="0" w:line="360" w:lineRule="auto"/>
              <w:rPr>
                <w:rFonts w:ascii="Times New Roman" w:hAnsi="Times New Roman"/>
                <w:sz w:val="24"/>
                <w:szCs w:val="24"/>
              </w:rPr>
            </w:pPr>
            <w:r w:rsidRPr="00B675F7">
              <w:rPr>
                <w:rFonts w:ascii="Times New Roman" w:hAnsi="Times New Roman"/>
                <w:sz w:val="24"/>
                <w:szCs w:val="24"/>
              </w:rPr>
              <w:t>(or)</w:t>
            </w:r>
          </w:p>
        </w:tc>
        <w:tc>
          <w:tcPr>
            <w:tcW w:w="1188" w:type="dxa"/>
            <w:vMerge w:val="restart"/>
          </w:tcPr>
          <w:p w14:paraId="1450E241" w14:textId="77777777" w:rsidR="008D3EF1" w:rsidRPr="00B675F7" w:rsidRDefault="008D3EF1" w:rsidP="00B675F7">
            <w:pPr>
              <w:spacing w:after="0" w:line="360" w:lineRule="auto"/>
              <w:rPr>
                <w:rFonts w:ascii="Times New Roman" w:hAnsi="Times New Roman"/>
                <w:sz w:val="24"/>
                <w:szCs w:val="24"/>
              </w:rPr>
            </w:pPr>
          </w:p>
        </w:tc>
      </w:tr>
      <w:tr w:rsidR="008D3EF1" w:rsidRPr="00B675F7" w14:paraId="72B8B9AD" w14:textId="77777777" w:rsidTr="00620A19">
        <w:trPr>
          <w:trHeight w:val="1252"/>
        </w:trPr>
        <w:tc>
          <w:tcPr>
            <w:tcW w:w="980" w:type="dxa"/>
            <w:vMerge/>
          </w:tcPr>
          <w:p w14:paraId="4D0FE9B8" w14:textId="77777777" w:rsidR="008D3EF1" w:rsidRPr="00B675F7" w:rsidRDefault="008D3EF1" w:rsidP="00B675F7">
            <w:pPr>
              <w:spacing w:after="0" w:line="360" w:lineRule="auto"/>
              <w:rPr>
                <w:rFonts w:ascii="Times New Roman" w:hAnsi="Times New Roman"/>
                <w:sz w:val="24"/>
                <w:szCs w:val="24"/>
              </w:rPr>
            </w:pPr>
          </w:p>
        </w:tc>
        <w:tc>
          <w:tcPr>
            <w:tcW w:w="6462" w:type="dxa"/>
          </w:tcPr>
          <w:p w14:paraId="2FE4E561" w14:textId="77777777" w:rsidR="008D3EF1" w:rsidRPr="00B675F7" w:rsidRDefault="008D3EF1" w:rsidP="00B675F7">
            <w:pPr>
              <w:spacing w:after="0" w:line="360" w:lineRule="auto"/>
              <w:rPr>
                <w:rFonts w:ascii="Times New Roman" w:hAnsi="Times New Roman"/>
                <w:sz w:val="24"/>
                <w:szCs w:val="24"/>
              </w:rPr>
            </w:pPr>
            <w:r w:rsidRPr="00B675F7">
              <w:rPr>
                <w:rFonts w:ascii="Times New Roman" w:hAnsi="Times New Roman"/>
                <w:sz w:val="24"/>
                <w:szCs w:val="24"/>
              </w:rPr>
              <w:t>Exclusivity of CGD network separately if not covered under the application for authorization</w:t>
            </w:r>
          </w:p>
          <w:p w14:paraId="768617AD" w14:textId="7B408C95" w:rsidR="008D3EF1" w:rsidRPr="00B675F7" w:rsidRDefault="008D3EF1" w:rsidP="00B675F7">
            <w:pPr>
              <w:spacing w:after="0" w:line="360" w:lineRule="auto"/>
              <w:rPr>
                <w:rFonts w:ascii="Times New Roman" w:hAnsi="Times New Roman"/>
                <w:sz w:val="24"/>
                <w:szCs w:val="24"/>
              </w:rPr>
            </w:pPr>
            <w:r w:rsidRPr="00B675F7">
              <w:rPr>
                <w:rFonts w:ascii="Times New Roman" w:hAnsi="Times New Roman"/>
                <w:sz w:val="24"/>
                <w:szCs w:val="24"/>
              </w:rPr>
              <w:t>(or)</w:t>
            </w:r>
          </w:p>
        </w:tc>
        <w:tc>
          <w:tcPr>
            <w:tcW w:w="1188" w:type="dxa"/>
            <w:vMerge/>
          </w:tcPr>
          <w:p w14:paraId="11472DE7" w14:textId="77777777" w:rsidR="008D3EF1" w:rsidRPr="00B675F7" w:rsidRDefault="008D3EF1" w:rsidP="00B675F7">
            <w:pPr>
              <w:spacing w:after="0" w:line="360" w:lineRule="auto"/>
              <w:rPr>
                <w:rFonts w:ascii="Times New Roman" w:hAnsi="Times New Roman"/>
                <w:sz w:val="24"/>
                <w:szCs w:val="24"/>
              </w:rPr>
            </w:pPr>
          </w:p>
        </w:tc>
      </w:tr>
      <w:tr w:rsidR="00B675F7" w:rsidRPr="00B675F7" w14:paraId="3C40C503" w14:textId="77777777" w:rsidTr="00620A19">
        <w:tc>
          <w:tcPr>
            <w:tcW w:w="980" w:type="dxa"/>
            <w:vMerge/>
          </w:tcPr>
          <w:p w14:paraId="5D2FD1D4" w14:textId="77777777" w:rsidR="00B675F7" w:rsidRPr="00B675F7" w:rsidRDefault="00B675F7" w:rsidP="00B675F7">
            <w:pPr>
              <w:spacing w:after="0" w:line="360" w:lineRule="auto"/>
              <w:rPr>
                <w:rFonts w:ascii="Times New Roman" w:hAnsi="Times New Roman"/>
                <w:sz w:val="24"/>
                <w:szCs w:val="24"/>
              </w:rPr>
            </w:pPr>
          </w:p>
        </w:tc>
        <w:tc>
          <w:tcPr>
            <w:tcW w:w="6462" w:type="dxa"/>
          </w:tcPr>
          <w:p w14:paraId="0E918A5C"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Expansion of common carrier or contract carrier pipelines or CGD networks----</w:t>
            </w:r>
          </w:p>
        </w:tc>
        <w:tc>
          <w:tcPr>
            <w:tcW w:w="1188" w:type="dxa"/>
            <w:vMerge/>
          </w:tcPr>
          <w:p w14:paraId="0075A4D2" w14:textId="77777777" w:rsidR="00B675F7" w:rsidRPr="00B675F7" w:rsidRDefault="00B675F7" w:rsidP="00B675F7">
            <w:pPr>
              <w:spacing w:after="0" w:line="360" w:lineRule="auto"/>
              <w:rPr>
                <w:rFonts w:ascii="Times New Roman" w:hAnsi="Times New Roman"/>
                <w:sz w:val="24"/>
                <w:szCs w:val="24"/>
              </w:rPr>
            </w:pPr>
          </w:p>
        </w:tc>
      </w:tr>
      <w:tr w:rsidR="00B675F7" w:rsidRPr="00B675F7" w14:paraId="50E8E6D1" w14:textId="77777777" w:rsidTr="00620A19">
        <w:tc>
          <w:tcPr>
            <w:tcW w:w="980" w:type="dxa"/>
            <w:vMerge/>
          </w:tcPr>
          <w:p w14:paraId="1BD2CAD3" w14:textId="77777777" w:rsidR="00B675F7" w:rsidRPr="00B675F7" w:rsidRDefault="00B675F7" w:rsidP="00B675F7">
            <w:pPr>
              <w:spacing w:after="0" w:line="360" w:lineRule="auto"/>
              <w:rPr>
                <w:rFonts w:ascii="Times New Roman" w:hAnsi="Times New Roman"/>
                <w:sz w:val="24"/>
                <w:szCs w:val="24"/>
              </w:rPr>
            </w:pPr>
          </w:p>
        </w:tc>
        <w:tc>
          <w:tcPr>
            <w:tcW w:w="6462" w:type="dxa"/>
          </w:tcPr>
          <w:p w14:paraId="00BBD194"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 xml:space="preserve">CGD </w:t>
            </w:r>
            <w:proofErr w:type="gramStart"/>
            <w:r w:rsidRPr="00B675F7">
              <w:rPr>
                <w:rFonts w:ascii="Times New Roman" w:hAnsi="Times New Roman"/>
                <w:sz w:val="24"/>
                <w:szCs w:val="24"/>
              </w:rPr>
              <w:t>Proposal :</w:t>
            </w:r>
            <w:proofErr w:type="gramEnd"/>
          </w:p>
        </w:tc>
        <w:tc>
          <w:tcPr>
            <w:tcW w:w="1188" w:type="dxa"/>
          </w:tcPr>
          <w:p w14:paraId="4063D4D6" w14:textId="77777777" w:rsidR="00B675F7" w:rsidRPr="00B675F7" w:rsidRDefault="00B675F7" w:rsidP="00B675F7">
            <w:pPr>
              <w:spacing w:after="0" w:line="360" w:lineRule="auto"/>
              <w:rPr>
                <w:rFonts w:ascii="Times New Roman" w:hAnsi="Times New Roman"/>
                <w:sz w:val="24"/>
                <w:szCs w:val="24"/>
              </w:rPr>
            </w:pPr>
          </w:p>
        </w:tc>
      </w:tr>
      <w:tr w:rsidR="00B675F7" w:rsidRPr="00B675F7" w14:paraId="0D1E5B32" w14:textId="77777777" w:rsidTr="00620A19">
        <w:tc>
          <w:tcPr>
            <w:tcW w:w="980" w:type="dxa"/>
            <w:vMerge/>
          </w:tcPr>
          <w:p w14:paraId="11EBB366" w14:textId="77777777" w:rsidR="00B675F7" w:rsidRPr="00B675F7" w:rsidRDefault="00B675F7" w:rsidP="00B675F7">
            <w:pPr>
              <w:spacing w:after="0" w:line="360" w:lineRule="auto"/>
              <w:rPr>
                <w:rFonts w:ascii="Times New Roman" w:hAnsi="Times New Roman"/>
                <w:sz w:val="24"/>
                <w:szCs w:val="24"/>
              </w:rPr>
            </w:pPr>
          </w:p>
        </w:tc>
        <w:tc>
          <w:tcPr>
            <w:tcW w:w="6462" w:type="dxa"/>
          </w:tcPr>
          <w:p w14:paraId="1A4E10DF"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Class A City*</w:t>
            </w:r>
            <w:bookmarkStart w:id="0" w:name="_GoBack"/>
            <w:bookmarkEnd w:id="0"/>
          </w:p>
        </w:tc>
        <w:tc>
          <w:tcPr>
            <w:tcW w:w="1188" w:type="dxa"/>
          </w:tcPr>
          <w:p w14:paraId="3FE9F30F"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12,00,000</w:t>
            </w:r>
          </w:p>
        </w:tc>
      </w:tr>
      <w:tr w:rsidR="00B675F7" w:rsidRPr="00B675F7" w14:paraId="6A657C05" w14:textId="77777777" w:rsidTr="00620A19">
        <w:tc>
          <w:tcPr>
            <w:tcW w:w="980" w:type="dxa"/>
            <w:vMerge/>
          </w:tcPr>
          <w:p w14:paraId="609D5159" w14:textId="77777777" w:rsidR="00B675F7" w:rsidRPr="00B675F7" w:rsidRDefault="00B675F7" w:rsidP="00B675F7">
            <w:pPr>
              <w:spacing w:after="0" w:line="360" w:lineRule="auto"/>
              <w:rPr>
                <w:rFonts w:ascii="Times New Roman" w:hAnsi="Times New Roman"/>
                <w:sz w:val="24"/>
                <w:szCs w:val="24"/>
              </w:rPr>
            </w:pPr>
          </w:p>
        </w:tc>
        <w:tc>
          <w:tcPr>
            <w:tcW w:w="6462" w:type="dxa"/>
          </w:tcPr>
          <w:p w14:paraId="0E46A86A"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Other cities**</w:t>
            </w:r>
          </w:p>
        </w:tc>
        <w:tc>
          <w:tcPr>
            <w:tcW w:w="1188" w:type="dxa"/>
          </w:tcPr>
          <w:p w14:paraId="47B79F42"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 xml:space="preserve">  8,00,000</w:t>
            </w:r>
          </w:p>
        </w:tc>
      </w:tr>
      <w:tr w:rsidR="00B675F7" w:rsidRPr="00B675F7" w14:paraId="4670B8B6" w14:textId="77777777" w:rsidTr="00620A19">
        <w:tc>
          <w:tcPr>
            <w:tcW w:w="980" w:type="dxa"/>
            <w:vMerge/>
          </w:tcPr>
          <w:p w14:paraId="5253ABE0" w14:textId="77777777" w:rsidR="00B675F7" w:rsidRPr="00B675F7" w:rsidRDefault="00B675F7" w:rsidP="00B675F7">
            <w:pPr>
              <w:spacing w:after="0" w:line="360" w:lineRule="auto"/>
              <w:rPr>
                <w:rFonts w:ascii="Times New Roman" w:hAnsi="Times New Roman"/>
                <w:sz w:val="24"/>
                <w:szCs w:val="24"/>
              </w:rPr>
            </w:pPr>
          </w:p>
        </w:tc>
        <w:tc>
          <w:tcPr>
            <w:tcW w:w="6462" w:type="dxa"/>
          </w:tcPr>
          <w:p w14:paraId="6EF584F7"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 xml:space="preserve">Pipeline </w:t>
            </w:r>
            <w:proofErr w:type="gramStart"/>
            <w:r w:rsidRPr="00B675F7">
              <w:rPr>
                <w:rFonts w:ascii="Times New Roman" w:hAnsi="Times New Roman"/>
                <w:sz w:val="24"/>
                <w:szCs w:val="24"/>
              </w:rPr>
              <w:t>Proposal :</w:t>
            </w:r>
            <w:proofErr w:type="gramEnd"/>
          </w:p>
        </w:tc>
        <w:tc>
          <w:tcPr>
            <w:tcW w:w="1188" w:type="dxa"/>
          </w:tcPr>
          <w:p w14:paraId="5BFAFAB4" w14:textId="77777777" w:rsidR="00B675F7" w:rsidRPr="00B675F7" w:rsidRDefault="00B675F7" w:rsidP="00B675F7">
            <w:pPr>
              <w:spacing w:after="0" w:line="360" w:lineRule="auto"/>
              <w:rPr>
                <w:rFonts w:ascii="Times New Roman" w:hAnsi="Times New Roman"/>
                <w:sz w:val="24"/>
                <w:szCs w:val="24"/>
              </w:rPr>
            </w:pPr>
          </w:p>
        </w:tc>
      </w:tr>
      <w:tr w:rsidR="00B675F7" w:rsidRPr="00B675F7" w14:paraId="7D038CAC" w14:textId="77777777" w:rsidTr="00620A19">
        <w:tc>
          <w:tcPr>
            <w:tcW w:w="980" w:type="dxa"/>
            <w:vMerge/>
          </w:tcPr>
          <w:p w14:paraId="6D6AF87A" w14:textId="77777777" w:rsidR="00B675F7" w:rsidRPr="00B675F7" w:rsidRDefault="00B675F7" w:rsidP="00B675F7">
            <w:pPr>
              <w:spacing w:after="0" w:line="360" w:lineRule="auto"/>
              <w:rPr>
                <w:rFonts w:ascii="Times New Roman" w:hAnsi="Times New Roman"/>
                <w:sz w:val="24"/>
                <w:szCs w:val="24"/>
              </w:rPr>
            </w:pPr>
          </w:p>
        </w:tc>
        <w:tc>
          <w:tcPr>
            <w:tcW w:w="6462" w:type="dxa"/>
          </w:tcPr>
          <w:p w14:paraId="3BCB62C5"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 xml:space="preserve">Spur lines </w:t>
            </w:r>
          </w:p>
        </w:tc>
        <w:tc>
          <w:tcPr>
            <w:tcW w:w="1188" w:type="dxa"/>
          </w:tcPr>
          <w:p w14:paraId="0499028D"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10,00,000</w:t>
            </w:r>
          </w:p>
        </w:tc>
      </w:tr>
      <w:tr w:rsidR="00B675F7" w:rsidRPr="00B675F7" w14:paraId="51D586E9" w14:textId="77777777" w:rsidTr="00620A19">
        <w:tc>
          <w:tcPr>
            <w:tcW w:w="980" w:type="dxa"/>
            <w:vMerge/>
          </w:tcPr>
          <w:p w14:paraId="0C389E32" w14:textId="77777777" w:rsidR="00B675F7" w:rsidRPr="00B675F7" w:rsidRDefault="00B675F7" w:rsidP="00B675F7">
            <w:pPr>
              <w:spacing w:after="0" w:line="360" w:lineRule="auto"/>
              <w:rPr>
                <w:rFonts w:ascii="Times New Roman" w:hAnsi="Times New Roman"/>
                <w:sz w:val="24"/>
                <w:szCs w:val="24"/>
              </w:rPr>
            </w:pPr>
          </w:p>
        </w:tc>
        <w:tc>
          <w:tcPr>
            <w:tcW w:w="6462" w:type="dxa"/>
          </w:tcPr>
          <w:p w14:paraId="73199371"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Trunk lines&lt;or=500 Kilometers</w:t>
            </w:r>
          </w:p>
        </w:tc>
        <w:tc>
          <w:tcPr>
            <w:tcW w:w="1188" w:type="dxa"/>
          </w:tcPr>
          <w:p w14:paraId="373A477E"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15,00,000</w:t>
            </w:r>
          </w:p>
        </w:tc>
      </w:tr>
      <w:tr w:rsidR="00B675F7" w:rsidRPr="00B675F7" w14:paraId="4D73BD59" w14:textId="77777777" w:rsidTr="00620A19">
        <w:tc>
          <w:tcPr>
            <w:tcW w:w="980" w:type="dxa"/>
            <w:vMerge/>
          </w:tcPr>
          <w:p w14:paraId="07A58632" w14:textId="77777777" w:rsidR="00B675F7" w:rsidRPr="00B675F7" w:rsidRDefault="00B675F7" w:rsidP="00B675F7">
            <w:pPr>
              <w:spacing w:after="0" w:line="360" w:lineRule="auto"/>
              <w:rPr>
                <w:rFonts w:ascii="Times New Roman" w:hAnsi="Times New Roman"/>
                <w:sz w:val="24"/>
                <w:szCs w:val="24"/>
              </w:rPr>
            </w:pPr>
          </w:p>
        </w:tc>
        <w:tc>
          <w:tcPr>
            <w:tcW w:w="6462" w:type="dxa"/>
          </w:tcPr>
          <w:p w14:paraId="7419CEB4"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Trunk lines&gt;500 Kilometers</w:t>
            </w:r>
          </w:p>
        </w:tc>
        <w:tc>
          <w:tcPr>
            <w:tcW w:w="1188" w:type="dxa"/>
          </w:tcPr>
          <w:p w14:paraId="1D1BC57B"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20,00,000</w:t>
            </w:r>
          </w:p>
        </w:tc>
      </w:tr>
      <w:tr w:rsidR="009D2EB5" w:rsidRPr="00B675F7" w14:paraId="3FF45C3A" w14:textId="77777777" w:rsidTr="00620A19">
        <w:tc>
          <w:tcPr>
            <w:tcW w:w="980" w:type="dxa"/>
          </w:tcPr>
          <w:p w14:paraId="6C33EBFA"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4.</w:t>
            </w:r>
          </w:p>
        </w:tc>
        <w:tc>
          <w:tcPr>
            <w:tcW w:w="6462" w:type="dxa"/>
          </w:tcPr>
          <w:p w14:paraId="1EF0BE33"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 xml:space="preserve">Formulation or updating or amending of any technical standard or specification including safety standard </w:t>
            </w:r>
          </w:p>
        </w:tc>
        <w:tc>
          <w:tcPr>
            <w:tcW w:w="1188" w:type="dxa"/>
          </w:tcPr>
          <w:p w14:paraId="14BD5F0E"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 xml:space="preserve">     10,000</w:t>
            </w:r>
          </w:p>
        </w:tc>
      </w:tr>
      <w:tr w:rsidR="009D2EB5" w:rsidRPr="00B675F7" w14:paraId="3CFA609F" w14:textId="77777777" w:rsidTr="00620A19">
        <w:tc>
          <w:tcPr>
            <w:tcW w:w="980" w:type="dxa"/>
          </w:tcPr>
          <w:p w14:paraId="1C82E321"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5.</w:t>
            </w:r>
          </w:p>
        </w:tc>
        <w:tc>
          <w:tcPr>
            <w:tcW w:w="6462" w:type="dxa"/>
          </w:tcPr>
          <w:p w14:paraId="64503C75"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Certified copy of the order of the Board</w:t>
            </w:r>
          </w:p>
        </w:tc>
        <w:tc>
          <w:tcPr>
            <w:tcW w:w="1188" w:type="dxa"/>
          </w:tcPr>
          <w:p w14:paraId="752C3BAD"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 xml:space="preserve">         500</w:t>
            </w:r>
          </w:p>
        </w:tc>
      </w:tr>
      <w:tr w:rsidR="009D2EB5" w:rsidRPr="00B675F7" w14:paraId="783BC18F" w14:textId="77777777" w:rsidTr="00620A19">
        <w:tc>
          <w:tcPr>
            <w:tcW w:w="980" w:type="dxa"/>
          </w:tcPr>
          <w:p w14:paraId="6C598881"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6.</w:t>
            </w:r>
          </w:p>
        </w:tc>
        <w:tc>
          <w:tcPr>
            <w:tcW w:w="6462" w:type="dxa"/>
          </w:tcPr>
          <w:p w14:paraId="41D6A769"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Modification or review of Board’s order under sub-section (h) of section 13 of the Act</w:t>
            </w:r>
          </w:p>
        </w:tc>
        <w:tc>
          <w:tcPr>
            <w:tcW w:w="1188" w:type="dxa"/>
          </w:tcPr>
          <w:p w14:paraId="62E14C5F"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 xml:space="preserve">     30,000</w:t>
            </w:r>
          </w:p>
        </w:tc>
      </w:tr>
      <w:tr w:rsidR="009D2EB5" w:rsidRPr="00B675F7" w14:paraId="65E451F8" w14:textId="77777777" w:rsidTr="00620A19">
        <w:tc>
          <w:tcPr>
            <w:tcW w:w="980" w:type="dxa"/>
          </w:tcPr>
          <w:p w14:paraId="277D7E1E"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7.</w:t>
            </w:r>
          </w:p>
        </w:tc>
        <w:tc>
          <w:tcPr>
            <w:tcW w:w="6462" w:type="dxa"/>
          </w:tcPr>
          <w:p w14:paraId="145BFF6C" w14:textId="04C8309B"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Obtaining a certified copy of an entry in the register under sub-section</w:t>
            </w:r>
            <w:r w:rsidR="00B675F7">
              <w:rPr>
                <w:rFonts w:ascii="Times New Roman" w:hAnsi="Times New Roman"/>
                <w:sz w:val="24"/>
                <w:szCs w:val="24"/>
              </w:rPr>
              <w:t xml:space="preserve"> </w:t>
            </w:r>
            <w:r w:rsidRPr="00B675F7">
              <w:rPr>
                <w:rFonts w:ascii="Times New Roman" w:hAnsi="Times New Roman"/>
                <w:sz w:val="24"/>
                <w:szCs w:val="24"/>
              </w:rPr>
              <w:t>(4) of section 14 of the Act (per page)</w:t>
            </w:r>
          </w:p>
        </w:tc>
        <w:tc>
          <w:tcPr>
            <w:tcW w:w="1188" w:type="dxa"/>
          </w:tcPr>
          <w:p w14:paraId="28628064"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 xml:space="preserve">          100</w:t>
            </w:r>
          </w:p>
        </w:tc>
      </w:tr>
      <w:tr w:rsidR="009D2EB5" w:rsidRPr="00B675F7" w14:paraId="1E1AEF38" w14:textId="77777777" w:rsidTr="00620A19">
        <w:tc>
          <w:tcPr>
            <w:tcW w:w="980" w:type="dxa"/>
          </w:tcPr>
          <w:p w14:paraId="0329888A"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8.</w:t>
            </w:r>
          </w:p>
        </w:tc>
        <w:tc>
          <w:tcPr>
            <w:tcW w:w="6462" w:type="dxa"/>
          </w:tcPr>
          <w:p w14:paraId="6B67C9C2"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Inspection of Petroleum &amp; Natural Gas Register (per inspection)</w:t>
            </w:r>
          </w:p>
        </w:tc>
        <w:tc>
          <w:tcPr>
            <w:tcW w:w="1188" w:type="dxa"/>
          </w:tcPr>
          <w:p w14:paraId="07B3F717" w14:textId="77777777" w:rsidR="009D2EB5" w:rsidRPr="00B675F7" w:rsidRDefault="009D2EB5" w:rsidP="00B675F7">
            <w:pPr>
              <w:spacing w:after="0" w:line="360" w:lineRule="auto"/>
              <w:rPr>
                <w:rFonts w:ascii="Times New Roman" w:hAnsi="Times New Roman"/>
                <w:sz w:val="24"/>
                <w:szCs w:val="24"/>
              </w:rPr>
            </w:pPr>
            <w:r w:rsidRPr="00B675F7">
              <w:rPr>
                <w:rFonts w:ascii="Times New Roman" w:hAnsi="Times New Roman"/>
                <w:sz w:val="24"/>
                <w:szCs w:val="24"/>
              </w:rPr>
              <w:t xml:space="preserve">       5,000</w:t>
            </w:r>
          </w:p>
        </w:tc>
      </w:tr>
      <w:tr w:rsidR="00B675F7" w:rsidRPr="00B675F7" w14:paraId="7A7D1670" w14:textId="77777777" w:rsidTr="00620A19">
        <w:trPr>
          <w:trHeight w:val="1099"/>
        </w:trPr>
        <w:tc>
          <w:tcPr>
            <w:tcW w:w="980" w:type="dxa"/>
          </w:tcPr>
          <w:p w14:paraId="0A580439"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9.</w:t>
            </w:r>
          </w:p>
        </w:tc>
        <w:tc>
          <w:tcPr>
            <w:tcW w:w="6462" w:type="dxa"/>
          </w:tcPr>
          <w:p w14:paraId="09DB6A0F"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Filing a complaint under sub-section (2) of section 25 of the Act (per complaint)</w:t>
            </w:r>
          </w:p>
          <w:p w14:paraId="41806B2F" w14:textId="7777777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Entities</w:t>
            </w:r>
          </w:p>
          <w:p w14:paraId="6DA6C01E" w14:textId="769CCA94"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Others</w:t>
            </w:r>
          </w:p>
        </w:tc>
        <w:tc>
          <w:tcPr>
            <w:tcW w:w="1188" w:type="dxa"/>
          </w:tcPr>
          <w:p w14:paraId="6757F182" w14:textId="77777777" w:rsidR="00B675F7" w:rsidRDefault="00B675F7" w:rsidP="00B675F7">
            <w:pPr>
              <w:spacing w:after="0" w:line="360" w:lineRule="auto"/>
              <w:rPr>
                <w:rFonts w:ascii="Times New Roman" w:hAnsi="Times New Roman"/>
                <w:sz w:val="24"/>
                <w:szCs w:val="24"/>
              </w:rPr>
            </w:pPr>
          </w:p>
          <w:p w14:paraId="23346E8A" w14:textId="77777777" w:rsidR="00B675F7" w:rsidRDefault="00B675F7" w:rsidP="00B675F7">
            <w:pPr>
              <w:spacing w:after="0" w:line="360" w:lineRule="auto"/>
              <w:rPr>
                <w:rFonts w:ascii="Times New Roman" w:hAnsi="Times New Roman"/>
                <w:sz w:val="24"/>
                <w:szCs w:val="24"/>
              </w:rPr>
            </w:pPr>
          </w:p>
          <w:p w14:paraId="62A4D2DF" w14:textId="33D8E776"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1,00,000</w:t>
            </w:r>
          </w:p>
          <w:p w14:paraId="31252EB1" w14:textId="683AB0B7" w:rsidR="00B675F7" w:rsidRPr="00B675F7" w:rsidRDefault="00B675F7" w:rsidP="00B675F7">
            <w:pPr>
              <w:spacing w:after="0" w:line="360" w:lineRule="auto"/>
              <w:rPr>
                <w:rFonts w:ascii="Times New Roman" w:hAnsi="Times New Roman"/>
                <w:sz w:val="24"/>
                <w:szCs w:val="24"/>
              </w:rPr>
            </w:pPr>
            <w:r w:rsidRPr="00B675F7">
              <w:rPr>
                <w:rFonts w:ascii="Times New Roman" w:hAnsi="Times New Roman"/>
                <w:sz w:val="24"/>
                <w:szCs w:val="24"/>
              </w:rPr>
              <w:t xml:space="preserve">     1,000</w:t>
            </w:r>
          </w:p>
        </w:tc>
      </w:tr>
    </w:tbl>
    <w:p w14:paraId="3B89738F" w14:textId="77777777" w:rsidR="009D2EB5" w:rsidRPr="00B675F7" w:rsidRDefault="009D2EB5" w:rsidP="009D2EB5">
      <w:pPr>
        <w:jc w:val="both"/>
        <w:rPr>
          <w:rFonts w:ascii="Times New Roman" w:hAnsi="Times New Roman"/>
          <w:sz w:val="24"/>
          <w:szCs w:val="24"/>
        </w:rPr>
      </w:pPr>
      <w:r w:rsidRPr="00B675F7">
        <w:rPr>
          <w:rFonts w:ascii="Times New Roman" w:hAnsi="Times New Roman"/>
          <w:sz w:val="24"/>
          <w:szCs w:val="24"/>
        </w:rPr>
        <w:tab/>
        <w:t>*Towns with population one million and above as per 2001 Census.</w:t>
      </w:r>
    </w:p>
    <w:p w14:paraId="23230D38" w14:textId="77777777" w:rsidR="009D2EB5" w:rsidRPr="00B675F7" w:rsidRDefault="009D2EB5" w:rsidP="009D2EB5">
      <w:pPr>
        <w:jc w:val="both"/>
        <w:rPr>
          <w:rFonts w:ascii="Times New Roman" w:hAnsi="Times New Roman"/>
          <w:sz w:val="24"/>
          <w:szCs w:val="24"/>
        </w:rPr>
      </w:pPr>
      <w:r w:rsidRPr="00B675F7">
        <w:rPr>
          <w:rFonts w:ascii="Times New Roman" w:hAnsi="Times New Roman"/>
          <w:sz w:val="24"/>
          <w:szCs w:val="24"/>
        </w:rPr>
        <w:tab/>
        <w:t>**Towns with population less than one million as per 2001 Census.</w:t>
      </w:r>
    </w:p>
    <w:p w14:paraId="12BEDB3D" w14:textId="77777777" w:rsidR="009D2EB5" w:rsidRPr="00B675F7" w:rsidRDefault="009D2EB5" w:rsidP="009D2EB5">
      <w:pPr>
        <w:rPr>
          <w:rFonts w:ascii="Times New Roman" w:hAnsi="Times New Roman"/>
          <w:sz w:val="24"/>
          <w:szCs w:val="24"/>
        </w:rPr>
      </w:pPr>
    </w:p>
    <w:p w14:paraId="3EED67FC" w14:textId="77777777" w:rsidR="009D2EB5" w:rsidRPr="00B675F7" w:rsidRDefault="009D2EB5" w:rsidP="009D2EB5">
      <w:pPr>
        <w:jc w:val="right"/>
        <w:rPr>
          <w:rFonts w:ascii="Times New Roman" w:hAnsi="Times New Roman"/>
          <w:sz w:val="24"/>
          <w:szCs w:val="24"/>
        </w:rPr>
      </w:pPr>
      <w:r w:rsidRPr="00B675F7">
        <w:rPr>
          <w:rFonts w:ascii="Times New Roman" w:hAnsi="Times New Roman"/>
          <w:sz w:val="24"/>
          <w:szCs w:val="24"/>
        </w:rPr>
        <w:t>[F. No. S-</w:t>
      </w:r>
      <w:proofErr w:type="spellStart"/>
      <w:r w:rsidRPr="00B675F7">
        <w:rPr>
          <w:rFonts w:ascii="Times New Roman" w:hAnsi="Times New Roman"/>
          <w:sz w:val="24"/>
          <w:szCs w:val="24"/>
        </w:rPr>
        <w:t>Admn</w:t>
      </w:r>
      <w:proofErr w:type="spellEnd"/>
      <w:r w:rsidRPr="00B675F7">
        <w:rPr>
          <w:rFonts w:ascii="Times New Roman" w:hAnsi="Times New Roman"/>
          <w:sz w:val="24"/>
          <w:szCs w:val="24"/>
        </w:rPr>
        <w:t>/II/8/2009-Vol.-I]</w:t>
      </w:r>
    </w:p>
    <w:p w14:paraId="34BB0A8F" w14:textId="77777777" w:rsidR="009D2EB5" w:rsidRPr="00B675F7" w:rsidRDefault="009D2EB5" w:rsidP="009D2EB5">
      <w:pPr>
        <w:jc w:val="right"/>
        <w:rPr>
          <w:rFonts w:ascii="Times New Roman" w:hAnsi="Times New Roman"/>
          <w:sz w:val="24"/>
          <w:szCs w:val="24"/>
        </w:rPr>
      </w:pPr>
      <w:r w:rsidRPr="00B675F7">
        <w:rPr>
          <w:rFonts w:ascii="Times New Roman" w:hAnsi="Times New Roman"/>
          <w:sz w:val="24"/>
          <w:szCs w:val="24"/>
        </w:rPr>
        <w:t>RATAN P WATAL, Secy.</w:t>
      </w:r>
    </w:p>
    <w:p w14:paraId="0690EBE4" w14:textId="77777777" w:rsidR="009D2EB5" w:rsidRPr="00B675F7" w:rsidRDefault="009D2EB5" w:rsidP="00B14ABA">
      <w:pPr>
        <w:ind w:left="1843" w:hanging="1276"/>
        <w:jc w:val="both"/>
        <w:rPr>
          <w:rFonts w:ascii="Times New Roman" w:hAnsi="Times New Roman"/>
          <w:sz w:val="24"/>
          <w:szCs w:val="24"/>
        </w:rPr>
      </w:pPr>
    </w:p>
    <w:p w14:paraId="11599BBC" w14:textId="33AA2687" w:rsidR="00286C8F" w:rsidRPr="00B675F7" w:rsidRDefault="009D2EB5" w:rsidP="00B14ABA">
      <w:pPr>
        <w:ind w:left="1843" w:hanging="1276"/>
        <w:jc w:val="both"/>
        <w:rPr>
          <w:sz w:val="24"/>
          <w:szCs w:val="24"/>
        </w:rPr>
      </w:pPr>
      <w:r w:rsidRPr="00B675F7">
        <w:rPr>
          <w:rFonts w:ascii="Times New Roman" w:hAnsi="Times New Roman"/>
          <w:b/>
          <w:sz w:val="24"/>
          <w:szCs w:val="24"/>
        </w:rPr>
        <w:t>Foot Note:</w:t>
      </w:r>
      <w:r w:rsidRPr="00B675F7">
        <w:rPr>
          <w:rFonts w:ascii="Times New Roman" w:hAnsi="Times New Roman"/>
          <w:sz w:val="24"/>
          <w:szCs w:val="24"/>
        </w:rPr>
        <w:t xml:space="preserve"> Principal regulations were notified </w:t>
      </w:r>
      <w:r w:rsidRPr="008D3EF1">
        <w:rPr>
          <w:rFonts w:ascii="Times New Roman" w:hAnsi="Times New Roman"/>
          <w:i/>
          <w:iCs/>
          <w:sz w:val="24"/>
          <w:szCs w:val="24"/>
        </w:rPr>
        <w:t>vide</w:t>
      </w:r>
      <w:r w:rsidRPr="00B675F7">
        <w:rPr>
          <w:rFonts w:ascii="Times New Roman" w:hAnsi="Times New Roman"/>
          <w:sz w:val="24"/>
          <w:szCs w:val="24"/>
        </w:rPr>
        <w:t xml:space="preserve"> No.</w:t>
      </w:r>
      <w:r w:rsidR="00B675F7">
        <w:rPr>
          <w:rFonts w:ascii="Times New Roman" w:hAnsi="Times New Roman"/>
          <w:sz w:val="24"/>
          <w:szCs w:val="24"/>
        </w:rPr>
        <w:t xml:space="preserve"> </w:t>
      </w:r>
      <w:r w:rsidRPr="00B675F7">
        <w:rPr>
          <w:rFonts w:ascii="Times New Roman" w:hAnsi="Times New Roman"/>
          <w:sz w:val="24"/>
          <w:szCs w:val="24"/>
        </w:rPr>
        <w:t>G.S.R. 732</w:t>
      </w:r>
      <w:r w:rsidR="00B675F7">
        <w:rPr>
          <w:rFonts w:ascii="Times New Roman" w:hAnsi="Times New Roman"/>
          <w:sz w:val="24"/>
          <w:szCs w:val="24"/>
        </w:rPr>
        <w:t xml:space="preserve"> </w:t>
      </w:r>
      <w:r w:rsidRPr="00B675F7">
        <w:rPr>
          <w:rFonts w:ascii="Times New Roman" w:hAnsi="Times New Roman"/>
          <w:sz w:val="24"/>
          <w:szCs w:val="24"/>
        </w:rPr>
        <w:t>(E), dated 26</w:t>
      </w:r>
      <w:r w:rsidRPr="00B675F7">
        <w:rPr>
          <w:rFonts w:ascii="Times New Roman" w:hAnsi="Times New Roman"/>
          <w:sz w:val="24"/>
          <w:szCs w:val="24"/>
          <w:vertAlign w:val="superscript"/>
        </w:rPr>
        <w:t>th</w:t>
      </w:r>
      <w:r w:rsidRPr="00B675F7">
        <w:rPr>
          <w:rFonts w:ascii="Times New Roman" w:hAnsi="Times New Roman"/>
          <w:sz w:val="24"/>
          <w:szCs w:val="24"/>
        </w:rPr>
        <w:t xml:space="preserve"> November, 2007</w:t>
      </w:r>
      <w:r w:rsidR="00B14ABA">
        <w:rPr>
          <w:rFonts w:ascii="Times New Roman" w:hAnsi="Times New Roman"/>
          <w:sz w:val="24"/>
          <w:szCs w:val="24"/>
        </w:rPr>
        <w:t xml:space="preserve"> and amended vide G.S.R. 477(E) dated 07</w:t>
      </w:r>
      <w:r w:rsidR="00B14ABA" w:rsidRPr="00B14ABA">
        <w:rPr>
          <w:rFonts w:ascii="Times New Roman" w:hAnsi="Times New Roman"/>
          <w:sz w:val="24"/>
          <w:szCs w:val="24"/>
          <w:vertAlign w:val="superscript"/>
        </w:rPr>
        <w:t>th</w:t>
      </w:r>
      <w:r w:rsidR="00B14ABA">
        <w:rPr>
          <w:rFonts w:ascii="Times New Roman" w:hAnsi="Times New Roman"/>
          <w:sz w:val="24"/>
          <w:szCs w:val="24"/>
        </w:rPr>
        <w:t xml:space="preserve"> June, 2010</w:t>
      </w:r>
      <w:r w:rsidRPr="00B675F7">
        <w:rPr>
          <w:rFonts w:ascii="Times New Roman" w:hAnsi="Times New Roman"/>
          <w:sz w:val="24"/>
          <w:szCs w:val="24"/>
        </w:rPr>
        <w:t>.</w:t>
      </w:r>
    </w:p>
    <w:sectPr w:rsidR="00286C8F" w:rsidRPr="00B675F7" w:rsidSect="00B417B9">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C577F6" w14:textId="77777777" w:rsidR="007B4312" w:rsidRDefault="007B4312" w:rsidP="008D3EF1">
      <w:pPr>
        <w:spacing w:after="0" w:line="240" w:lineRule="auto"/>
      </w:pPr>
      <w:r>
        <w:separator/>
      </w:r>
    </w:p>
  </w:endnote>
  <w:endnote w:type="continuationSeparator" w:id="0">
    <w:p w14:paraId="12BCCD2C" w14:textId="77777777" w:rsidR="007B4312" w:rsidRDefault="007B4312" w:rsidP="008D3E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254611"/>
      <w:docPartObj>
        <w:docPartGallery w:val="Page Numbers (Bottom of Page)"/>
        <w:docPartUnique/>
      </w:docPartObj>
    </w:sdtPr>
    <w:sdtEndPr>
      <w:rPr>
        <w:noProof/>
      </w:rPr>
    </w:sdtEndPr>
    <w:sdtContent>
      <w:p w14:paraId="098062AB" w14:textId="065A834F" w:rsidR="008D3EF1" w:rsidRDefault="008D3E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66624C" w14:textId="77777777" w:rsidR="008D3EF1" w:rsidRDefault="008D3E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77D56" w14:textId="77777777" w:rsidR="007B4312" w:rsidRDefault="007B4312" w:rsidP="008D3EF1">
      <w:pPr>
        <w:spacing w:after="0" w:line="240" w:lineRule="auto"/>
      </w:pPr>
      <w:r>
        <w:separator/>
      </w:r>
    </w:p>
  </w:footnote>
  <w:footnote w:type="continuationSeparator" w:id="0">
    <w:p w14:paraId="2DD178AF" w14:textId="77777777" w:rsidR="007B4312" w:rsidRDefault="007B4312" w:rsidP="008D3E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972"/>
    <w:rsid w:val="000C4BB3"/>
    <w:rsid w:val="00476270"/>
    <w:rsid w:val="00582AB1"/>
    <w:rsid w:val="00620A19"/>
    <w:rsid w:val="007B4312"/>
    <w:rsid w:val="007B5A80"/>
    <w:rsid w:val="008D3EF1"/>
    <w:rsid w:val="009D2EB5"/>
    <w:rsid w:val="009D4710"/>
    <w:rsid w:val="00B14ABA"/>
    <w:rsid w:val="00B675F7"/>
    <w:rsid w:val="00B77972"/>
    <w:rsid w:val="00BD1BB8"/>
    <w:rsid w:val="00D57EC4"/>
    <w:rsid w:val="00D65961"/>
    <w:rsid w:val="00DC613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DA554"/>
  <w15:chartTrackingRefBased/>
  <w15:docId w15:val="{6EB3155C-7659-41D1-B31F-B18D6B4A3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EB5"/>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3E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EF1"/>
    <w:rPr>
      <w:rFonts w:ascii="Calibri" w:eastAsia="Calibri" w:hAnsi="Calibri" w:cs="Times New Roman"/>
      <w:szCs w:val="22"/>
      <w:lang w:val="en-US" w:bidi="ar-SA"/>
    </w:rPr>
  </w:style>
  <w:style w:type="paragraph" w:styleId="Footer">
    <w:name w:val="footer"/>
    <w:basedOn w:val="Normal"/>
    <w:link w:val="FooterChar"/>
    <w:uiPriority w:val="99"/>
    <w:unhideWhenUsed/>
    <w:rsid w:val="008D3E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EF1"/>
    <w:rPr>
      <w:rFonts w:ascii="Calibri" w:eastAsia="Calibri" w:hAnsi="Calibri" w:cs="Times New Roman"/>
      <w:szCs w:val="22"/>
      <w:lang w:val="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382</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9</cp:revision>
  <cp:lastPrinted>2019-12-06T05:40:00Z</cp:lastPrinted>
  <dcterms:created xsi:type="dcterms:W3CDTF">2019-12-04T06:07:00Z</dcterms:created>
  <dcterms:modified xsi:type="dcterms:W3CDTF">2020-03-17T06:41:00Z</dcterms:modified>
</cp:coreProperties>
</file>